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</w:t>
      </w:r>
      <w:r>
        <w:rPr/>
        <w:t>УТВЕРЖДЕН</w:t>
      </w:r>
    </w:p>
    <w:p>
      <w:pPr>
        <w:pStyle w:val="Normal"/>
        <w:jc w:val="right"/>
        <w:rPr/>
      </w:pPr>
      <w:r>
        <w:rPr/>
        <w:t>Глава Манойлинского</w:t>
      </w:r>
    </w:p>
    <w:p>
      <w:pPr>
        <w:pStyle w:val="Normal"/>
        <w:jc w:val="right"/>
        <w:rPr/>
      </w:pPr>
      <w:r>
        <w:rPr/>
        <w:t>сельского поселения</w:t>
      </w:r>
    </w:p>
    <w:p>
      <w:pPr>
        <w:pStyle w:val="Normal"/>
        <w:jc w:val="right"/>
        <w:rPr/>
      </w:pPr>
      <w:r>
        <w:rPr/>
        <w:t>_________________  С.В. Литвиненко</w:t>
      </w:r>
    </w:p>
    <w:p>
      <w:pPr>
        <w:pStyle w:val="Normal"/>
        <w:jc w:val="right"/>
        <w:rPr/>
      </w:pPr>
      <w:r>
        <w:rPr/>
        <w:t>19.01.2022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bookmarkStart w:id="0" w:name="__DdeLink__6939_4106987302"/>
      <w:r>
        <w:rPr>
          <w:b/>
        </w:rPr>
        <w:t>ОТЧЕТ</w:t>
      </w:r>
    </w:p>
    <w:p>
      <w:pPr>
        <w:pStyle w:val="Normal"/>
        <w:ind w:right="141" w:hanging="0"/>
        <w:jc w:val="center"/>
        <w:rPr>
          <w:b/>
          <w:b/>
        </w:rPr>
      </w:pPr>
      <w:bookmarkStart w:id="1" w:name="__DdeLink__6939_4106987302"/>
      <w:r>
        <w:rPr>
          <w:b/>
        </w:rPr>
        <w:t>за 2021 год  по реализации муниципальной программы «Энергосбережение и повышение энергетической эффективности на территории Манойлинского сельского поселения на 2020-2023гг.», утвержденной постановлением администрации Манойлинского сельского поселения от 17.12.2019г. № 110</w:t>
      </w:r>
      <w:bookmarkEnd w:id="1"/>
    </w:p>
    <w:p>
      <w:pPr>
        <w:pStyle w:val="Normal"/>
        <w:ind w:right="141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 мероприятий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 реализации Муниципальной программы «Энергосбережение и повышение энергетической эффективности на территории Манойлинского сельского поселения на 2020-2023 годы»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5411" w:type="dxa"/>
        <w:jc w:val="left"/>
        <w:tblInd w:w="-3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7"/>
        <w:gridCol w:w="2894"/>
        <w:gridCol w:w="1854"/>
        <w:gridCol w:w="1971"/>
        <w:gridCol w:w="1922"/>
        <w:gridCol w:w="1738"/>
        <w:gridCol w:w="2193"/>
        <w:gridCol w:w="2190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Исполнители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Источник финансирования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Исполнение</w:t>
            </w:r>
          </w:p>
        </w:tc>
        <w:tc>
          <w:tcPr>
            <w:tcW w:w="17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7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/>
              <w:t>Администрация Манойлинского сельского поселения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/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Проведены мероприятия</w:t>
            </w:r>
          </w:p>
        </w:tc>
        <w:tc>
          <w:tcPr>
            <w:tcW w:w="17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/>
              <w:t>Администрация Манойлинского сельского поселения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/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Проведена разъяснительная работа</w:t>
            </w:r>
          </w:p>
        </w:tc>
        <w:tc>
          <w:tcPr>
            <w:tcW w:w="17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Администрация Манойлинского сельского поселения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-</w:t>
            </w:r>
          </w:p>
        </w:tc>
        <w:tc>
          <w:tcPr>
            <w:tcW w:w="17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35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/>
              <w:t>Размещение на официальном сайте  Администрации Манойлинского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Администрация Манойлинского сельского поселения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8" w:hanging="0"/>
              <w:rPr/>
            </w:pPr>
            <w:r>
              <w:rPr/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Информация размещена</w:t>
            </w:r>
          </w:p>
        </w:tc>
        <w:tc>
          <w:tcPr>
            <w:tcW w:w="17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8" w:hanging="0"/>
              <w:rPr/>
            </w:pPr>
            <w:r>
              <w:rPr/>
              <w:t>Проведение ежегодного мониторинга фактических показателей эффективности мероприятий по энергосбережению 2020-2023годах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Администрация Манойлинского сельского поселения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Проведен мониторинг фактических показателей эффективности</w:t>
            </w:r>
          </w:p>
        </w:tc>
        <w:tc>
          <w:tcPr>
            <w:tcW w:w="173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71"/>
              <w:widowControl w:val="false"/>
              <w:shd w:val="clear" w:color="auto" w:fill="auto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7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1665" w:leader="none"/>
          <w:tab w:val="right" w:pos="15138" w:leader="none"/>
        </w:tabs>
        <w:jc w:val="right"/>
        <w:outlineLvl w:val="0"/>
        <w:rPr/>
      </w:pPr>
      <w:r>
        <w:rPr/>
      </w:r>
    </w:p>
    <w:p>
      <w:pPr>
        <w:pStyle w:val="Normal"/>
        <w:jc w:val="center"/>
        <w:rPr/>
      </w:pPr>
      <w:r>
        <w:rPr/>
        <w:t>Ресурсное обеспечение Муниципальной программы «Энергосбережение и повышение энергетической эффективности администрации Манойлинского сельского поселения на 2020-2023 годы»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28"/>
        <w:gridCol w:w="1439"/>
        <w:gridCol w:w="3781"/>
      </w:tblGrid>
      <w:tr>
        <w:trPr>
          <w:trHeight w:val="791" w:hRule="atLeast"/>
          <w:cantSplit w:val="true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/>
              <w:t>Всего, тыс.руб. *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spacing w:before="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финансирования - местный бюджет</w:t>
            </w:r>
          </w:p>
        </w:tc>
      </w:tr>
      <w:tr>
        <w:trPr>
          <w:trHeight w:val="235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2020 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2021 году приобретены уличные светильники «Модуль» на сумму 4914,0 тыс. рублей</w:t>
            </w:r>
          </w:p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85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2021 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3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64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2022 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3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64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2023 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3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64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Общий объём  финансирования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120,0</w:t>
            </w:r>
          </w:p>
        </w:tc>
        <w:tc>
          <w:tcPr>
            <w:tcW w:w="3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/>
        <w:t>*Объем финансирования  подлежит ежегодному уточнению.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141" w:hanging="0"/>
        <w:jc w:val="center"/>
        <w:rPr/>
      </w:pPr>
      <w:r>
        <w:rPr/>
      </w:r>
    </w:p>
    <w:p>
      <w:pPr>
        <w:pStyle w:val="Normal"/>
        <w:ind w:right="141" w:hanging="0"/>
        <w:rPr/>
      </w:pPr>
      <w:r>
        <w:rPr/>
        <w:t>Исполнитель</w:t>
      </w:r>
    </w:p>
    <w:p>
      <w:pPr>
        <w:pStyle w:val="Normal"/>
        <w:ind w:right="141" w:hanging="0"/>
        <w:rPr/>
      </w:pPr>
      <w:r>
        <w:rPr/>
        <w:t>Кнехт Е.С.</w:t>
      </w:r>
      <w:bookmarkStart w:id="2" w:name="_GoBack"/>
      <w:bookmarkEnd w:id="2"/>
    </w:p>
    <w:p>
      <w:pPr>
        <w:pStyle w:val="Normal"/>
        <w:ind w:right="141" w:hanging="0"/>
        <w:jc w:val="center"/>
        <w:rPr/>
      </w:pPr>
      <w:r>
        <w:rPr/>
      </w:r>
    </w:p>
    <w:p>
      <w:pPr>
        <w:pStyle w:val="Normal"/>
        <w:ind w:right="141" w:hanging="0"/>
        <w:jc w:val="center"/>
        <w:rPr/>
      </w:pPr>
      <w:r>
        <w:rPr/>
      </w:r>
    </w:p>
    <w:p>
      <w:pPr>
        <w:pStyle w:val="Normal"/>
        <w:ind w:right="141" w:hanging="0"/>
        <w:jc w:val="center"/>
        <w:rPr/>
      </w:pPr>
      <w:r>
        <w:rPr/>
      </w:r>
    </w:p>
    <w:p>
      <w:pPr>
        <w:pStyle w:val="Normal"/>
        <w:ind w:right="141" w:hanging="0"/>
        <w:jc w:val="center"/>
        <w:rPr/>
      </w:pPr>
      <w:r>
        <w:rPr/>
      </w:r>
    </w:p>
    <w:p>
      <w:pPr>
        <w:pStyle w:val="Normal"/>
        <w:ind w:right="141" w:hanging="0"/>
        <w:jc w:val="center"/>
        <w:rPr/>
      </w:pPr>
      <w:r>
        <w:rPr/>
      </w:r>
    </w:p>
    <w:p>
      <w:pPr>
        <w:pStyle w:val="Normal"/>
        <w:ind w:right="141" w:hanging="0"/>
        <w:jc w:val="center"/>
        <w:rPr/>
      </w:pPr>
      <w:r>
        <w:rPr/>
      </w:r>
    </w:p>
    <w:p>
      <w:pPr>
        <w:pStyle w:val="Normal"/>
        <w:ind w:right="141" w:hanging="0"/>
        <w:jc w:val="center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0d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40d9f"/>
    <w:rPr>
      <w:b/>
      <w:bCs/>
    </w:rPr>
  </w:style>
  <w:style w:type="character" w:styleId="7" w:customStyle="1">
    <w:name w:val="Основной текст (7)_"/>
    <w:link w:val="70"/>
    <w:qFormat/>
    <w:locked/>
    <w:rsid w:val="008554d3"/>
    <w:rPr>
      <w:sz w:val="23"/>
      <w:szCs w:val="23"/>
      <w:shd w:fill="FFFFFF" w:val="clear"/>
    </w:rPr>
  </w:style>
  <w:style w:type="character" w:styleId="3" w:customStyle="1">
    <w:name w:val="Основной текст 3 Знак"/>
    <w:basedOn w:val="DefaultParagraphFont"/>
    <w:link w:val="3"/>
    <w:qFormat/>
    <w:rsid w:val="00b41511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qFormat/>
    <w:locked/>
    <w:rsid w:val="00b41511"/>
    <w:rPr>
      <w:rFonts w:ascii="Arial" w:hAnsi="Arial" w:eastAsia="Times New Roman" w:cs="Arial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onsPlusNormal1" w:customStyle="1">
    <w:name w:val="ConsPlusNormal"/>
    <w:link w:val="ConsPlusNormal0"/>
    <w:qFormat/>
    <w:rsid w:val="00140d9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8554d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71" w:customStyle="1">
    <w:name w:val="Основной текст (7)"/>
    <w:basedOn w:val="Normal"/>
    <w:link w:val="7"/>
    <w:qFormat/>
    <w:rsid w:val="008554d3"/>
    <w:pPr>
      <w:shd w:val="clear" w:color="auto" w:fill="FFFFFF"/>
      <w:spacing w:lineRule="exact" w:line="274"/>
      <w:jc w:val="both"/>
    </w:pPr>
    <w:rPr>
      <w:rFonts w:ascii="Calibri" w:hAnsi="Calibri" w:eastAsia="Calibri" w:cs="" w:asciiTheme="minorHAnsi" w:cstheme="minorBidi" w:eastAsiaTheme="minorHAnsi" w:hAnsiTheme="minorHAnsi"/>
      <w:sz w:val="23"/>
      <w:szCs w:val="23"/>
      <w:lang w:eastAsia="en-US"/>
    </w:rPr>
  </w:style>
  <w:style w:type="paragraph" w:styleId="BodyText3">
    <w:name w:val="Body Text 3"/>
    <w:basedOn w:val="Normal"/>
    <w:link w:val="30"/>
    <w:qFormat/>
    <w:rsid w:val="00b41511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LibreOffice/7.2.1.2$Windows_X86_64 LibreOffice_project/87b77fad49947c1441b67c559c339af8f3517e22</Application>
  <AppVersion>15.0000</AppVersion>
  <Pages>3</Pages>
  <Words>257</Words>
  <Characters>2074</Characters>
  <CharactersWithSpaces>2431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2020-04-07T10:36:00Z</dcterms:created>
  <dc:creator>Пользователь</dc:creator>
  <dc:description/>
  <dc:language>ru-RU</dc:language>
  <cp:lastModifiedBy/>
  <dcterms:modified xsi:type="dcterms:W3CDTF">2022-01-20T09:06:17Z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