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F" w:rsidRPr="0094668F" w:rsidRDefault="0094668F" w:rsidP="00946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АДМИНИСТРАЦИЯ  МАНОЙЛИНСКОГО</w:t>
      </w:r>
    </w:p>
    <w:p w:rsidR="0094668F" w:rsidRPr="0094668F" w:rsidRDefault="0094668F" w:rsidP="00946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94668F" w:rsidRPr="0094668F" w:rsidRDefault="0094668F" w:rsidP="00946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:rsidR="0094668F" w:rsidRPr="0094668F" w:rsidRDefault="0094668F" w:rsidP="00946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ВОЛГОГРАДСКОЙ  ОБЛАСТИ</w:t>
      </w:r>
    </w:p>
    <w:p w:rsidR="0094668F" w:rsidRPr="0094668F" w:rsidRDefault="0094668F" w:rsidP="009466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94668F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403583,  х.Манойлин, ул</w:t>
      </w:r>
      <w:proofErr w:type="gramStart"/>
      <w:r w:rsidRPr="0094668F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.Ш</w:t>
      </w:r>
      <w:proofErr w:type="gramEnd"/>
      <w:r w:rsidRPr="0094668F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кольная, д. 9. тел/факс 8-84466 4-56-46 ОКПО 4126637</w:t>
      </w:r>
    </w:p>
    <w:p w:rsidR="0094668F" w:rsidRPr="0094668F" w:rsidRDefault="0094668F" w:rsidP="009466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94668F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р/счет 40204810800000000339 в Отделение Волгограда</w:t>
      </w:r>
    </w:p>
    <w:p w:rsidR="0094668F" w:rsidRPr="0094668F" w:rsidRDefault="0094668F" w:rsidP="009466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94668F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ИНН/ КПП 3412301348/341201001</w:t>
      </w:r>
    </w:p>
    <w:p w:rsidR="0094668F" w:rsidRPr="0094668F" w:rsidRDefault="0094668F" w:rsidP="009466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466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_________________________________________________________________________</w:t>
      </w:r>
    </w:p>
    <w:p w:rsidR="0094668F" w:rsidRPr="0094668F" w:rsidRDefault="0094668F" w:rsidP="009466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668F" w:rsidRPr="0094668F" w:rsidRDefault="0094668F" w:rsidP="009466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9466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proofErr w:type="gramEnd"/>
      <w:r w:rsidRPr="009466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 С Т А Н О В Л Е Н И Е </w:t>
      </w:r>
    </w:p>
    <w:p w:rsidR="0094668F" w:rsidRPr="0094668F" w:rsidRDefault="0094668F" w:rsidP="0094668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668F" w:rsidRPr="0094668F" w:rsidRDefault="0094668F" w:rsidP="0094668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668F">
        <w:rPr>
          <w:rFonts w:ascii="Times New Roman" w:eastAsia="Calibri" w:hAnsi="Times New Roman" w:cs="Times New Roman"/>
          <w:sz w:val="24"/>
          <w:szCs w:val="24"/>
          <w:lang w:eastAsia="en-US"/>
        </w:rPr>
        <w:t>От  19 июня  2017 года      №  43</w:t>
      </w: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E046D" w:rsidRPr="0094668F" w:rsidRDefault="009655B6" w:rsidP="0094668F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4668F">
        <w:rPr>
          <w:rFonts w:ascii="Times New Roman" w:eastAsia="Arial" w:hAnsi="Times New Roman" w:cs="Times New Roman"/>
          <w:b/>
          <w:sz w:val="24"/>
          <w:szCs w:val="24"/>
        </w:rPr>
        <w:t>Об утверждении порядка создания</w:t>
      </w:r>
      <w:r w:rsidR="001C7B3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4668F">
        <w:rPr>
          <w:rFonts w:ascii="Times New Roman" w:eastAsia="Arial" w:hAnsi="Times New Roman" w:cs="Times New Roman"/>
          <w:b/>
          <w:sz w:val="24"/>
          <w:szCs w:val="24"/>
        </w:rPr>
        <w:t>координационных или совещательных органов</w:t>
      </w:r>
      <w:r w:rsidR="001C7B34">
        <w:rPr>
          <w:rFonts w:ascii="Times New Roman" w:eastAsia="Arial" w:hAnsi="Times New Roman" w:cs="Times New Roman"/>
          <w:b/>
          <w:sz w:val="24"/>
          <w:szCs w:val="24"/>
        </w:rPr>
        <w:t xml:space="preserve">               </w:t>
      </w:r>
      <w:r w:rsidRPr="0094668F">
        <w:rPr>
          <w:rFonts w:ascii="Times New Roman" w:eastAsia="Arial" w:hAnsi="Times New Roman" w:cs="Times New Roman"/>
          <w:b/>
          <w:sz w:val="24"/>
          <w:szCs w:val="24"/>
        </w:rPr>
        <w:t>в области развития малого и среднего</w:t>
      </w:r>
      <w:r w:rsidR="000839E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4668F">
        <w:rPr>
          <w:rFonts w:ascii="Times New Roman" w:eastAsia="Arial" w:hAnsi="Times New Roman" w:cs="Times New Roman"/>
          <w:b/>
          <w:sz w:val="24"/>
          <w:szCs w:val="24"/>
        </w:rPr>
        <w:t>предпринимательства при администрации</w:t>
      </w:r>
      <w:r w:rsidR="001C7B3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4668F" w:rsidRPr="0094668F">
        <w:rPr>
          <w:rFonts w:ascii="Times New Roman" w:eastAsia="Arial" w:hAnsi="Times New Roman" w:cs="Times New Roman"/>
          <w:b/>
          <w:sz w:val="24"/>
          <w:szCs w:val="24"/>
        </w:rPr>
        <w:t>Манойлинского</w:t>
      </w:r>
      <w:r w:rsidRPr="0094668F">
        <w:rPr>
          <w:rFonts w:ascii="Times New Roman" w:eastAsia="Arial" w:hAnsi="Times New Roman" w:cs="Times New Roman"/>
          <w:b/>
          <w:sz w:val="24"/>
          <w:szCs w:val="24"/>
        </w:rPr>
        <w:t xml:space="preserve"> сельского поселения</w:t>
      </w:r>
      <w:r w:rsidR="001C7B3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4668F">
        <w:rPr>
          <w:rFonts w:ascii="Times New Roman" w:eastAsia="Arial" w:hAnsi="Times New Roman" w:cs="Times New Roman"/>
          <w:b/>
          <w:sz w:val="24"/>
          <w:szCs w:val="24"/>
        </w:rPr>
        <w:t>Клетского муниципального района</w:t>
      </w:r>
    </w:p>
    <w:p w:rsidR="00AE046D" w:rsidRPr="0094668F" w:rsidRDefault="009655B6" w:rsidP="0094668F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4668F">
        <w:rPr>
          <w:rFonts w:ascii="Times New Roman" w:eastAsia="Arial" w:hAnsi="Times New Roman" w:cs="Times New Roman"/>
          <w:b/>
          <w:sz w:val="24"/>
          <w:szCs w:val="24"/>
        </w:rPr>
        <w:t>Волгоградской области.</w:t>
      </w: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13 Федерального закона от 24 июля 2007 № 209-ФЗ "О развитии малого и среднего предпринимательства в Российской Федерации",  администрация </w:t>
      </w:r>
      <w:r w:rsid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</w:t>
      </w:r>
      <w:r w:rsidR="00CA7A8A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Утвердить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CA7A8A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Клетского муниципального района Волгоградской области согласно приложению.</w:t>
      </w:r>
    </w:p>
    <w:p w:rsidR="002B443E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B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443E" w:rsidRPr="002B443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опубликованию в информационном листе Манойлинского сельского поселения «Родной хуторок» и размещению на официальном Сайте администрации Манойлинского сельского поселения.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</w:t>
      </w:r>
      <w:r w:rsidR="006E5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остановления оставляю за собой.</w:t>
      </w: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6D" w:rsidRPr="0094668F" w:rsidRDefault="009655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Глава </w:t>
      </w:r>
      <w:r w:rsidR="00F33F75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668F">
        <w:rPr>
          <w:rFonts w:ascii="Times New Roman" w:eastAsia="Arial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 w:rsidR="00F33F75">
        <w:rPr>
          <w:rFonts w:ascii="Times New Roman" w:eastAsia="Arial" w:hAnsi="Times New Roman" w:cs="Times New Roman"/>
          <w:sz w:val="24"/>
          <w:szCs w:val="24"/>
        </w:rPr>
        <w:t>С.В. Литвиненко</w:t>
      </w: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957DA" w:rsidRDefault="00B957DA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DA" w:rsidRDefault="00B957DA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DA" w:rsidRDefault="00B957DA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DA" w:rsidRDefault="00B957DA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DA" w:rsidRDefault="00B957DA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DA" w:rsidRDefault="00B957DA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DA" w:rsidRDefault="00B957DA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DA" w:rsidRDefault="00B957DA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6D" w:rsidRPr="0094668F" w:rsidRDefault="009655B6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proofErr w:type="gramStart"/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AE046D" w:rsidRPr="0094668F" w:rsidRDefault="00B957DA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655B6"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 администрации</w:t>
      </w:r>
    </w:p>
    <w:p w:rsidR="00AE046D" w:rsidRDefault="00B957DA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</w:t>
      </w:r>
      <w:r w:rsidR="009655B6"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B957DA" w:rsidRDefault="00B957DA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Клетского муниципального района</w:t>
      </w:r>
    </w:p>
    <w:p w:rsidR="00B957DA" w:rsidRPr="0094668F" w:rsidRDefault="00B957DA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</w:t>
      </w:r>
    </w:p>
    <w:p w:rsidR="00AE046D" w:rsidRPr="0094668F" w:rsidRDefault="009655B6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50FCE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50FC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>.2017 г №  </w:t>
      </w:r>
      <w:r w:rsidR="00650FCE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AE046D" w:rsidRPr="0094668F" w:rsidRDefault="00AE046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6D" w:rsidRPr="0094668F" w:rsidRDefault="00AE046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046D" w:rsidRPr="0094668F" w:rsidRDefault="009655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</w:p>
    <w:p w:rsidR="00AE046D" w:rsidRPr="0094668F" w:rsidRDefault="009655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650FCE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</w:t>
      </w:r>
      <w:r w:rsidR="001C7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Клетского муниципального района Волгоградской области</w:t>
      </w: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46D" w:rsidRPr="0094668F" w:rsidRDefault="009655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1. Настоящий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650FCE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</w:t>
      </w:r>
      <w:proofErr w:type="gramStart"/>
      <w:r w:rsidRPr="0094668F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орядок) разработан в соответствии с </w:t>
      </w:r>
      <w:hyperlink r:id="rId4">
        <w:r w:rsidRPr="009466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от 24 июля 2007 № 209-ФЗ "О развитии малого и среднего предпринимательства в Российской Федерации" (далее - Федеральный закон), Законом Волгоградской области от 4 июля 2008 № 1720-ОД "О развитии малого и среднего предпринимательства в Волгоградской области"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650FCE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- Координационные или Совещательные органы).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и термины, используемые в настоящем Порядке, применяются в значениях, определенных Федеральным законом.</w:t>
      </w:r>
    </w:p>
    <w:p w:rsidR="00AE046D" w:rsidRPr="0094668F" w:rsidRDefault="009655B6">
      <w:pPr>
        <w:widowControl w:val="0"/>
        <w:spacing w:after="0" w:line="240" w:lineRule="auto"/>
        <w:ind w:left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>2. Координационные или Совещательные органы создаются в целях: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</w:t>
      </w:r>
      <w:r w:rsidR="004F3BB7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Клетского муниципального района Волгоградской области;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4F3BB7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</w:t>
      </w:r>
      <w:r w:rsidR="001C7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Клетского муниципального района Волгоградской области;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проведения общественной экспертизы проектов муниципальных правовых актов </w:t>
      </w:r>
      <w:r w:rsidR="004F3BB7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Клетского муниципального района Волгоградской области, регулирующих развитие малого и среднего предпринимательства в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</w:t>
      </w:r>
      <w:r w:rsidR="004F3BB7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="001C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>сельского поселения Клетского муниципального района Волгоградской области;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- выработки рекомендаций органам местного самоуправления муниципального образования </w:t>
      </w:r>
      <w:r w:rsidR="004F3BB7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при определении приоритетов в области развития малого и среднего предпринимательства;</w:t>
      </w:r>
    </w:p>
    <w:p w:rsidR="00AE046D" w:rsidRPr="0094668F" w:rsidRDefault="009655B6">
      <w:pPr>
        <w:widowControl w:val="0"/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- 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AE046D" w:rsidRPr="0094668F" w:rsidRDefault="009655B6">
      <w:pPr>
        <w:widowControl w:val="0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3. Координационные или Совещательные органы создаются по инициативе: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1) администрации </w:t>
      </w:r>
      <w:r w:rsidR="004F3BB7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="001C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>сельского поселения Клетского муниципального района Волгоградской области;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2) 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="004F3BB7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в количестве десяти человек (далее </w:t>
      </w:r>
      <w:proofErr w:type="gramStart"/>
      <w:r w:rsidRPr="0094668F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94668F">
        <w:rPr>
          <w:rFonts w:ascii="Times New Roman" w:eastAsia="Times New Roman" w:hAnsi="Times New Roman" w:cs="Times New Roman"/>
          <w:sz w:val="24"/>
          <w:szCs w:val="24"/>
        </w:rPr>
        <w:t>нициативная группа);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3) некоммерческой организации, выражающей интересы субъектов малого и среднего 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предпринимательства, зарегистрированной и осуществляющей свою деятельность на территории </w:t>
      </w:r>
      <w:r w:rsidR="002B443E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="001C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>сельского поселения Клетского муниципального района Волгоградской области;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4) 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>Манойлинского сельского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поселения Клетского муниципального района Волгоградской области (далее - инициаторы).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4. Инициаторы создания Координационного или Совещательного органа, указанные в подпунктах 2, 3, 4 пункта 3 настоящего Порядка, направляют в администрацию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 xml:space="preserve">Манойлинского 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>сельского поселения Клетского муниципального района Волгоградской области в письменной форме предложение о создании Координационного или Совещательного органа (далее - предложение).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К предложениям инициаторов, указанных в подпунктах 3, 4 пункта 3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инициаторами печатью (при наличии).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заверенные руководителем организации (индивидуальным предпринимателем) и печатью (при наличии).</w:t>
      </w:r>
      <w:proofErr w:type="gramEnd"/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5. Поступившее предложение рассматривается администрацией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в течение 30 календарных дней со дня его регистрации. По результатам рассмотрения предложения инициатор письменно уведомляется о принятом решении. 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создании Координационного или Совещательного органа являются: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- направление предложения инициатором, не указанным в пункте 3 настоящего Порядка;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- направление инициатором предложения, не соответствующего требованиям пункта 4 настоящего Порядка;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- наличие в представленных инициатором документах неполной и (или) недостоверной информации.</w:t>
      </w:r>
    </w:p>
    <w:p w:rsidR="00AE046D" w:rsidRPr="0094668F" w:rsidRDefault="009655B6">
      <w:pPr>
        <w:widowControl w:val="0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6. Координационный или Совещательный орган образуется в форме Совета.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7. 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AE046D" w:rsidRPr="0094668F" w:rsidRDefault="009655B6">
      <w:pPr>
        <w:widowControl w:val="0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В состав Координационного или Совещательного органа включаются: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- представители органов местного самоуправления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области;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- 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области;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- 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области;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- 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(далее - представители субъектов предпринимательства).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AE046D" w:rsidRPr="0094668F" w:rsidRDefault="009655B6">
      <w:pPr>
        <w:widowControl w:val="0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8. Состав Координационного или Совещательного органа формируется: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- администрацией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области;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- по предложению инициатора в порядке, установленном пунктом 4 настоящего Порядка.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9. </w:t>
      </w:r>
      <w:proofErr w:type="gramStart"/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состава Координационного или Совещательного органа администрацией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на официальном сайте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в информационно-телекоммуникационной сети "Интернет" (далее-официальный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  <w:proofErr w:type="gramEnd"/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1) 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AE046D" w:rsidRPr="0094668F" w:rsidRDefault="009655B6">
      <w:pPr>
        <w:widowControl w:val="0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2) форма заявления о приеме;</w:t>
      </w:r>
    </w:p>
    <w:p w:rsidR="00AE046D" w:rsidRPr="0094668F" w:rsidRDefault="009655B6">
      <w:pPr>
        <w:widowControl w:val="0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3) условия подачи заявлений о приеме;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4) количество кандидатур в члены Координационного или Совещательного органа.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10. Решение о включении кандидатуры в члены Координационного или Совещательного органа либо об отказе во включении кандидатуры принимается администрацией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 xml:space="preserve">Манойлинского 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>сельского поселения Клетского муниципального района Волгоградской области в течение десяти рабочих дней со дня окончания срока подачи заявлений о приеме.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пункта 9 настоящего Порядка, решения о включении кандидатур членами Координационного или Совещательного органа принимаются администрацией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исходя из времени поступления заявлений о приеме.</w:t>
      </w:r>
      <w:proofErr w:type="gramEnd"/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AE046D" w:rsidRPr="0094668F" w:rsidRDefault="009655B6">
      <w:pPr>
        <w:widowControl w:val="0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- подача заявления о приеме по истечении срока, указанного в извещении; </w:t>
      </w:r>
    </w:p>
    <w:p w:rsidR="00AE046D" w:rsidRPr="0094668F" w:rsidRDefault="009655B6">
      <w:pPr>
        <w:widowControl w:val="0"/>
        <w:spacing w:after="0" w:line="240" w:lineRule="auto"/>
        <w:ind w:left="698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- несоответствие условиям подачи заявлений, указанным в извещении;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>- 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AE046D" w:rsidRPr="0094668F" w:rsidRDefault="009655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 не позднее пяти рабочих дней со дня принятия соответствующего решения.</w:t>
      </w:r>
    </w:p>
    <w:p w:rsidR="00AE046D" w:rsidRPr="0094668F" w:rsidRDefault="009655B6" w:rsidP="006D4E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11. Решение о создании Координационного или Совещательного органа принимается в форме постановления администрации </w:t>
      </w:r>
      <w:r w:rsidR="00AC12D4" w:rsidRPr="00AC12D4"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подлежит </w:t>
      </w:r>
      <w:r w:rsidR="006D4EEB" w:rsidRPr="002B44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размещению на официальном Сайте администрации Ма</w:t>
      </w:r>
      <w:r w:rsidR="006D4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нойлинского сельского поселения и на 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информационном стенде в здании администрации </w:t>
      </w:r>
      <w:r w:rsidR="00757B21">
        <w:rPr>
          <w:rFonts w:ascii="Times New Roman" w:eastAsia="Times New Roman" w:hAnsi="Times New Roman" w:cs="Times New Roman"/>
          <w:sz w:val="24"/>
          <w:szCs w:val="24"/>
        </w:rPr>
        <w:t xml:space="preserve">Манойлинского </w:t>
      </w:r>
      <w:r w:rsidRPr="009466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E046D" w:rsidRPr="0094668F" w:rsidRDefault="00AE04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046D" w:rsidRPr="0094668F" w:rsidSect="0094668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46D"/>
    <w:rsid w:val="000839E4"/>
    <w:rsid w:val="001731F1"/>
    <w:rsid w:val="001C7B34"/>
    <w:rsid w:val="002B443E"/>
    <w:rsid w:val="004F3BB7"/>
    <w:rsid w:val="00623764"/>
    <w:rsid w:val="00650FCE"/>
    <w:rsid w:val="006D4EEB"/>
    <w:rsid w:val="006E58A9"/>
    <w:rsid w:val="00757B21"/>
    <w:rsid w:val="0094668F"/>
    <w:rsid w:val="009655B6"/>
    <w:rsid w:val="00AC12D4"/>
    <w:rsid w:val="00AE046D"/>
    <w:rsid w:val="00B957DA"/>
    <w:rsid w:val="00CA7A8A"/>
    <w:rsid w:val="00F3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1205485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2017-06-22T14:20:00Z</cp:lastPrinted>
  <dcterms:created xsi:type="dcterms:W3CDTF">2017-06-06T10:51:00Z</dcterms:created>
  <dcterms:modified xsi:type="dcterms:W3CDTF">2017-06-23T03:14:00Z</dcterms:modified>
</cp:coreProperties>
</file>